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E60" w:rsidRPr="0002251B" w:rsidRDefault="00467E60" w:rsidP="00467E6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48680E10" wp14:editId="5AF0520E">
            <wp:extent cx="5760720" cy="1256884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60" w:rsidRDefault="00467E60" w:rsidP="00467E6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67E60" w:rsidRPr="0002251B" w:rsidRDefault="00467E60" w:rsidP="00467E6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3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7"/>
        <w:gridCol w:w="7047"/>
      </w:tblGrid>
      <w:tr w:rsidR="00467E60" w:rsidRPr="0002251B" w:rsidTr="00635CF9">
        <w:trPr>
          <w:trHeight w:val="544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467E60" w:rsidRPr="0002251B" w:rsidTr="00635CF9">
        <w:trPr>
          <w:trHeight w:val="544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467E60" w:rsidRPr="0002251B" w:rsidTr="00635CF9">
        <w:trPr>
          <w:trHeight w:val="544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635CF9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VY_32_INOVACE_0108</w:t>
            </w:r>
            <w:r w:rsidR="00467E60" w:rsidRPr="00635CF9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 xml:space="preserve"> </w:t>
            </w:r>
            <w:r>
              <w:rPr>
                <w:rFonts w:eastAsia="Times New Roman" w:cs="Arial"/>
                <w:sz w:val="24"/>
                <w:szCs w:val="24"/>
                <w:lang w:eastAsia="cs-CZ"/>
              </w:rPr>
              <w:t xml:space="preserve">Inventarizace a </w:t>
            </w:r>
            <w:r w:rsidRPr="00635CF9">
              <w:rPr>
                <w:rFonts w:eastAsia="Times New Roman" w:cs="Arial"/>
                <w:sz w:val="24"/>
                <w:szCs w:val="24"/>
                <w:lang w:eastAsia="cs-CZ"/>
              </w:rPr>
              <w:t>financování majetku</w:t>
            </w:r>
          </w:p>
        </w:tc>
      </w:tr>
      <w:tr w:rsidR="00467E60" w:rsidRPr="0002251B" w:rsidTr="00635CF9">
        <w:trPr>
          <w:trHeight w:val="544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635CF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635CF9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467E60" w:rsidRPr="0002251B" w:rsidTr="00635CF9">
        <w:trPr>
          <w:trHeight w:val="544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635CF9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467E60" w:rsidRPr="0002251B" w:rsidTr="00635CF9">
        <w:trPr>
          <w:trHeight w:val="544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467E60" w:rsidRPr="0002251B" w:rsidTr="00635CF9">
        <w:trPr>
          <w:trHeight w:val="544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635CF9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467E60" w:rsidRPr="00635CF9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467E60" w:rsidRPr="0002251B" w:rsidTr="00635CF9">
        <w:trPr>
          <w:trHeight w:val="544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sz w:val="24"/>
                <w:szCs w:val="24"/>
                <w:lang w:eastAsia="cs-CZ"/>
              </w:rPr>
              <w:t>Inventarizace</w:t>
            </w:r>
            <w:r w:rsidR="009F433B" w:rsidRPr="00635CF9">
              <w:rPr>
                <w:rFonts w:eastAsia="Times New Roman" w:cs="Arial"/>
                <w:sz w:val="24"/>
                <w:szCs w:val="24"/>
                <w:lang w:eastAsia="cs-CZ"/>
              </w:rPr>
              <w:t xml:space="preserve"> a zdroje financování</w:t>
            </w:r>
            <w:r w:rsidRPr="00635CF9">
              <w:rPr>
                <w:rFonts w:eastAsia="Times New Roman" w:cs="Arial"/>
                <w:sz w:val="24"/>
                <w:szCs w:val="24"/>
                <w:lang w:eastAsia="cs-CZ"/>
              </w:rPr>
              <w:t xml:space="preserve"> majetku</w:t>
            </w:r>
          </w:p>
        </w:tc>
      </w:tr>
      <w:tr w:rsidR="00467E60" w:rsidRPr="0002251B" w:rsidTr="00635CF9">
        <w:trPr>
          <w:trHeight w:val="544"/>
        </w:trPr>
        <w:tc>
          <w:tcPr>
            <w:tcW w:w="218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4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467E60" w:rsidP="001F0EE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635CF9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6556ED" w:rsidRPr="00635CF9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467E60" w:rsidRPr="0002251B" w:rsidTr="00635CF9">
        <w:trPr>
          <w:trHeight w:val="544"/>
        </w:trPr>
        <w:tc>
          <w:tcPr>
            <w:tcW w:w="923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67E60" w:rsidRPr="00635CF9" w:rsidRDefault="00010063" w:rsidP="001F0EEA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467E60" w:rsidRPr="0002251B" w:rsidRDefault="00467E60" w:rsidP="00467E6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67E60" w:rsidRPr="0002251B" w:rsidRDefault="00467E60" w:rsidP="00467E6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67E60" w:rsidRPr="0002251B" w:rsidRDefault="00467E60" w:rsidP="00467E6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67E60" w:rsidRDefault="00467E60" w:rsidP="00467E60">
      <w:pPr>
        <w:rPr>
          <w:rFonts w:ascii="Arial" w:eastAsia="Arial" w:hAnsi="Arial" w:cs="Arial"/>
          <w:color w:val="CE488E"/>
        </w:rPr>
      </w:pPr>
    </w:p>
    <w:p w:rsidR="00467E60" w:rsidRPr="00467E60" w:rsidRDefault="00467E60" w:rsidP="00467E60">
      <w:pPr>
        <w:rPr>
          <w:rFonts w:ascii="Arial" w:eastAsia="Arial" w:hAnsi="Arial" w:cs="Arial"/>
          <w:color w:val="CE488E"/>
        </w:rPr>
      </w:pPr>
      <w:r w:rsidRPr="00467E60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5FDA1D9A" wp14:editId="4DAE7CA1">
            <wp:extent cx="5648325" cy="1093832"/>
            <wp:effectExtent l="0" t="0" r="0" b="0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60" w:rsidRPr="00467E60" w:rsidRDefault="00467E60" w:rsidP="00467E60">
      <w:pPr>
        <w:rPr>
          <w:rFonts w:ascii="Arial" w:eastAsia="Arial" w:hAnsi="Arial" w:cs="Times New Roman"/>
          <w:b/>
          <w:bCs/>
          <w:u w:val="single"/>
        </w:rPr>
      </w:pPr>
    </w:p>
    <w:p w:rsidR="00467E60" w:rsidRPr="00467E60" w:rsidRDefault="00467E60" w:rsidP="00467E60">
      <w:pPr>
        <w:rPr>
          <w:rFonts w:ascii="Arial" w:eastAsia="Arial" w:hAnsi="Arial" w:cs="Times New Roman"/>
          <w:b/>
          <w:bCs/>
          <w:u w:val="single"/>
        </w:rPr>
      </w:pPr>
    </w:p>
    <w:p w:rsidR="00467E60" w:rsidRPr="00467E60" w:rsidRDefault="00467E60" w:rsidP="00467E60">
      <w:pPr>
        <w:rPr>
          <w:rFonts w:ascii="Arial" w:eastAsia="Arial" w:hAnsi="Arial" w:cs="Times New Roman"/>
          <w:b/>
          <w:bCs/>
        </w:rPr>
      </w:pPr>
      <w:r w:rsidRPr="00467E60">
        <w:rPr>
          <w:rFonts w:ascii="Arial" w:eastAsia="Arial" w:hAnsi="Arial" w:cs="Times New Roman"/>
          <w:b/>
          <w:bCs/>
          <w:noProof/>
          <w:lang w:eastAsia="cs-CZ"/>
        </w:rPr>
        <w:drawing>
          <wp:inline distT="0" distB="0" distL="0" distR="0" wp14:anchorId="39F01B9C" wp14:editId="4B5FF175">
            <wp:extent cx="5486400" cy="1228725"/>
            <wp:effectExtent l="0" t="0" r="19050" b="28575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467E60" w:rsidRPr="00467E60" w:rsidRDefault="00467E60" w:rsidP="00467E60">
      <w:pPr>
        <w:rPr>
          <w:rFonts w:ascii="Arial" w:eastAsia="Arial" w:hAnsi="Arial" w:cs="Times New Roman"/>
          <w:b/>
          <w:bCs/>
        </w:rPr>
      </w:pPr>
    </w:p>
    <w:p w:rsidR="00467E60" w:rsidRPr="00467E60" w:rsidRDefault="00467E60" w:rsidP="00467E60">
      <w:pPr>
        <w:numPr>
          <w:ilvl w:val="0"/>
          <w:numId w:val="3"/>
        </w:numPr>
        <w:contextualSpacing/>
        <w:rPr>
          <w:rFonts w:ascii="Arial" w:eastAsia="Arial" w:hAnsi="Arial" w:cs="Arial"/>
          <w:color w:val="7030A0"/>
          <w:sz w:val="28"/>
          <w:szCs w:val="28"/>
        </w:rPr>
      </w:pPr>
      <w:r w:rsidRPr="00467E60">
        <w:rPr>
          <w:rFonts w:ascii="Arial" w:eastAsia="Arial" w:hAnsi="Arial" w:cs="Arial"/>
          <w:b/>
          <w:bCs/>
          <w:color w:val="7030A0"/>
          <w:sz w:val="28"/>
          <w:szCs w:val="28"/>
        </w:rPr>
        <w:t>Inventarizace</w:t>
      </w:r>
      <w:r w:rsidRPr="00467E60">
        <w:rPr>
          <w:rFonts w:ascii="Arial" w:eastAsia="Arial" w:hAnsi="Arial" w:cs="Arial"/>
          <w:color w:val="7030A0"/>
          <w:sz w:val="28"/>
          <w:szCs w:val="28"/>
        </w:rPr>
        <w:t xml:space="preserve"> je ověření skutečného stavu majetku a závazků  </w:t>
      </w:r>
    </w:p>
    <w:p w:rsidR="00467E60" w:rsidRPr="00467E60" w:rsidRDefault="00467E60" w:rsidP="00467E60">
      <w:pPr>
        <w:ind w:left="720"/>
        <w:contextualSpacing/>
        <w:rPr>
          <w:rFonts w:ascii="Arial" w:eastAsia="Arial" w:hAnsi="Arial" w:cs="Arial"/>
          <w:color w:val="7030A0"/>
          <w:sz w:val="28"/>
          <w:szCs w:val="28"/>
        </w:rPr>
      </w:pPr>
    </w:p>
    <w:p w:rsidR="00467E60" w:rsidRPr="00467E60" w:rsidRDefault="00467E60" w:rsidP="00467E60">
      <w:pPr>
        <w:numPr>
          <w:ilvl w:val="0"/>
          <w:numId w:val="3"/>
        </w:numPr>
        <w:spacing w:before="240"/>
        <w:contextualSpacing/>
        <w:rPr>
          <w:rFonts w:ascii="Arial" w:eastAsia="Arial" w:hAnsi="Arial" w:cs="Times New Roman"/>
          <w:color w:val="7030A0"/>
          <w:sz w:val="24"/>
          <w:szCs w:val="24"/>
        </w:rPr>
      </w:pPr>
      <w:r w:rsidRPr="00467E60">
        <w:rPr>
          <w:rFonts w:ascii="Arial" w:eastAsia="Arial" w:hAnsi="Arial" w:cs="Times New Roman"/>
          <w:b/>
          <w:color w:val="7030A0"/>
          <w:sz w:val="24"/>
          <w:szCs w:val="24"/>
        </w:rPr>
        <w:t>Smyslem inventarizace je zjistit, zda stav majetku a závazků v účetnictví odpovídá skutečnosti.</w:t>
      </w:r>
    </w:p>
    <w:p w:rsidR="00467E60" w:rsidRPr="00467E60" w:rsidRDefault="00467E60" w:rsidP="00467E60">
      <w:pPr>
        <w:numPr>
          <w:ilvl w:val="0"/>
          <w:numId w:val="3"/>
        </w:numPr>
        <w:spacing w:before="240" w:line="360" w:lineRule="auto"/>
        <w:contextualSpacing/>
        <w:rPr>
          <w:rFonts w:ascii="Arial" w:eastAsia="Arial" w:hAnsi="Arial" w:cs="Arial"/>
          <w:b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color w:val="7030A0"/>
          <w:sz w:val="24"/>
          <w:szCs w:val="24"/>
        </w:rPr>
        <w:t xml:space="preserve">Inventarizaci upravuje zákon o účetnictví. </w:t>
      </w:r>
    </w:p>
    <w:p w:rsidR="00467E60" w:rsidRPr="00467E60" w:rsidRDefault="00467E60" w:rsidP="00467E60">
      <w:pPr>
        <w:numPr>
          <w:ilvl w:val="0"/>
          <w:numId w:val="3"/>
        </w:numPr>
        <w:spacing w:before="240"/>
        <w:contextualSpacing/>
        <w:rPr>
          <w:rFonts w:ascii="Arial" w:eastAsia="Arial" w:hAnsi="Arial" w:cs="Arial"/>
          <w:b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color w:val="7030A0"/>
          <w:sz w:val="24"/>
          <w:szCs w:val="24"/>
        </w:rPr>
        <w:t>Účetní jednotky mají povinnost provést inventarizaci majetku a závazků jednou ročně.</w:t>
      </w:r>
    </w:p>
    <w:p w:rsidR="00467E60" w:rsidRPr="00467E60" w:rsidRDefault="00467E60" w:rsidP="00467E60">
      <w:pPr>
        <w:rPr>
          <w:rFonts w:ascii="Monotype Corsiva" w:eastAsia="Arial" w:hAnsi="Monotype Corsiva" w:cs="Times New Roman"/>
          <w:b/>
          <w:color w:val="00FF00"/>
          <w:u w:val="single"/>
        </w:rPr>
      </w:pPr>
    </w:p>
    <w:p w:rsidR="00467E60" w:rsidRPr="00467E60" w:rsidRDefault="00467E60" w:rsidP="00467E60">
      <w:pPr>
        <w:numPr>
          <w:ilvl w:val="0"/>
          <w:numId w:val="4"/>
        </w:numPr>
        <w:spacing w:after="0" w:line="240" w:lineRule="auto"/>
        <w:contextualSpacing/>
        <w:rPr>
          <w:rFonts w:ascii="Arial" w:eastAsia="Arial" w:hAnsi="Arial" w:cs="Arial"/>
          <w:i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color w:val="7030A0"/>
          <w:sz w:val="24"/>
          <w:szCs w:val="24"/>
        </w:rPr>
        <w:t>Druhy  inventarizací   -  podle okamžiku uskutečnění</w:t>
      </w:r>
    </w:p>
    <w:p w:rsidR="00467E60" w:rsidRPr="00467E60" w:rsidRDefault="00467E60" w:rsidP="00467E6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467E60">
        <w:rPr>
          <w:rFonts w:ascii="Arial" w:eastAsia="Times New Roman" w:hAnsi="Arial" w:cs="Arial"/>
          <w:sz w:val="24"/>
          <w:szCs w:val="24"/>
          <w:lang w:eastAsia="cs-CZ"/>
        </w:rPr>
        <w:t xml:space="preserve">                                            </w:t>
      </w:r>
    </w:p>
    <w:p w:rsidR="00467E60" w:rsidRPr="00467E60" w:rsidRDefault="00467E60" w:rsidP="00467E60">
      <w:pPr>
        <w:spacing w:after="0" w:line="240" w:lineRule="auto"/>
        <w:rPr>
          <w:rFonts w:ascii="Arial" w:eastAsia="Arial" w:hAnsi="Arial" w:cs="Arial"/>
          <w:b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 xml:space="preserve">1.  Řádná </w:t>
      </w:r>
      <w:r w:rsidRPr="00467E60">
        <w:rPr>
          <w:rFonts w:ascii="Arial" w:eastAsia="Arial" w:hAnsi="Arial" w:cs="Arial"/>
          <w:color w:val="7030A0"/>
          <w:sz w:val="24"/>
          <w:szCs w:val="24"/>
        </w:rPr>
        <w:t>- provádí se k 31. 12. každého roku</w:t>
      </w:r>
    </w:p>
    <w:p w:rsidR="00467E60" w:rsidRPr="00467E60" w:rsidRDefault="00467E60" w:rsidP="00467E60">
      <w:pPr>
        <w:spacing w:after="0" w:line="240" w:lineRule="auto"/>
        <w:rPr>
          <w:rFonts w:ascii="Arial" w:eastAsia="Arial" w:hAnsi="Arial" w:cs="Arial"/>
          <w:b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 xml:space="preserve">                        </w:t>
      </w:r>
    </w:p>
    <w:p w:rsidR="00467E60" w:rsidRPr="00467E60" w:rsidRDefault="00467E60" w:rsidP="00467E60">
      <w:pPr>
        <w:spacing w:after="0" w:line="240" w:lineRule="auto"/>
        <w:rPr>
          <w:rFonts w:ascii="Arial" w:eastAsia="Arial" w:hAnsi="Arial" w:cs="Arial"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>2.  Průběžná</w:t>
      </w:r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t xml:space="preserve"> - provádí se v průběhu účetního období</w:t>
      </w:r>
    </w:p>
    <w:p w:rsidR="00467E60" w:rsidRPr="00467E60" w:rsidRDefault="00467E60" w:rsidP="00467E60">
      <w:pPr>
        <w:spacing w:after="0" w:line="240" w:lineRule="auto"/>
        <w:rPr>
          <w:rFonts w:ascii="Arial" w:eastAsia="Arial" w:hAnsi="Arial" w:cs="Arial"/>
          <w:b/>
          <w:bCs/>
          <w:color w:val="7030A0"/>
          <w:sz w:val="24"/>
          <w:szCs w:val="24"/>
        </w:rPr>
      </w:pPr>
    </w:p>
    <w:p w:rsidR="00467E60" w:rsidRPr="00467E60" w:rsidRDefault="00467E60" w:rsidP="00467E60">
      <w:pPr>
        <w:spacing w:after="0" w:line="240" w:lineRule="auto"/>
        <w:rPr>
          <w:rFonts w:ascii="Arial" w:eastAsia="Arial" w:hAnsi="Arial" w:cs="Arial"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>3.  Mimořádná</w:t>
      </w:r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t xml:space="preserve">  -  provádí se v případě mimořádných událostí</w:t>
      </w:r>
    </w:p>
    <w:p w:rsidR="00467E60" w:rsidRPr="00467E60" w:rsidRDefault="00467E60" w:rsidP="00467E60">
      <w:pPr>
        <w:spacing w:after="0" w:line="240" w:lineRule="auto"/>
        <w:rPr>
          <w:rFonts w:ascii="Arial" w:eastAsia="Arial" w:hAnsi="Arial" w:cs="Arial"/>
          <w:b/>
          <w:bCs/>
          <w:color w:val="7030A0"/>
          <w:sz w:val="24"/>
          <w:szCs w:val="24"/>
        </w:rPr>
      </w:pPr>
    </w:p>
    <w:p w:rsidR="00467E60" w:rsidRPr="00467E60" w:rsidRDefault="00467E60" w:rsidP="00467E60">
      <w:pPr>
        <w:spacing w:after="0" w:line="240" w:lineRule="auto"/>
        <w:rPr>
          <w:rFonts w:ascii="Arial" w:eastAsia="Arial" w:hAnsi="Arial" w:cs="Arial"/>
          <w:b/>
          <w:bCs/>
          <w:color w:val="7030A0"/>
          <w:sz w:val="24"/>
          <w:szCs w:val="24"/>
        </w:rPr>
      </w:pPr>
    </w:p>
    <w:p w:rsidR="00467E60" w:rsidRPr="00467E60" w:rsidRDefault="00467E60" w:rsidP="00467E60">
      <w:pPr>
        <w:rPr>
          <w:rFonts w:ascii="Arial" w:eastAsia="Arial" w:hAnsi="Arial" w:cs="Times New Roman"/>
          <w:b/>
          <w:bCs/>
          <w:u w:val="single"/>
        </w:rPr>
      </w:pPr>
    </w:p>
    <w:p w:rsidR="00560803" w:rsidRPr="00560803" w:rsidRDefault="00467E60" w:rsidP="00467E60">
      <w:pPr>
        <w:numPr>
          <w:ilvl w:val="0"/>
          <w:numId w:val="4"/>
        </w:numPr>
        <w:contextualSpacing/>
        <w:rPr>
          <w:rFonts w:ascii="Arial" w:eastAsia="Arial" w:hAnsi="Arial" w:cs="Arial"/>
          <w:i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color w:val="7030A0"/>
          <w:sz w:val="24"/>
          <w:szCs w:val="24"/>
        </w:rPr>
        <w:t xml:space="preserve">Druhy  inventarizací   -   podle rozsahu majetku </w:t>
      </w:r>
    </w:p>
    <w:p w:rsidR="00467E60" w:rsidRPr="00467E60" w:rsidRDefault="00467E60" w:rsidP="00560803">
      <w:pPr>
        <w:ind w:left="720"/>
        <w:contextualSpacing/>
        <w:rPr>
          <w:rFonts w:ascii="Arial" w:eastAsia="Arial" w:hAnsi="Arial" w:cs="Arial"/>
          <w:i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color w:val="7030A0"/>
          <w:sz w:val="24"/>
          <w:szCs w:val="24"/>
        </w:rPr>
        <w:t xml:space="preserve"> </w:t>
      </w:r>
    </w:p>
    <w:p w:rsidR="00467E60" w:rsidRPr="00467E60" w:rsidRDefault="00467E60" w:rsidP="00467E60">
      <w:pPr>
        <w:rPr>
          <w:rFonts w:ascii="Arial" w:eastAsia="Arial" w:hAnsi="Arial" w:cs="Arial"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>1. Částečná</w:t>
      </w:r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t xml:space="preserve"> - inventarizace pouze části majetku např. </w:t>
      </w:r>
      <w:r w:rsidRPr="00467E60">
        <w:rPr>
          <w:rFonts w:ascii="Arial" w:eastAsia="Arial" w:hAnsi="Arial" w:cs="Arial"/>
          <w:bCs/>
          <w:i/>
          <w:color w:val="7030A0"/>
          <w:sz w:val="24"/>
          <w:szCs w:val="24"/>
        </w:rPr>
        <w:t>zásob</w:t>
      </w:r>
    </w:p>
    <w:p w:rsidR="00467E60" w:rsidRPr="00467E60" w:rsidRDefault="00467E60" w:rsidP="00467E60">
      <w:pPr>
        <w:rPr>
          <w:rFonts w:ascii="Arial" w:eastAsia="Arial" w:hAnsi="Arial" w:cs="Times New Roman"/>
          <w:bCs/>
          <w:color w:val="7030A0"/>
          <w:sz w:val="24"/>
          <w:szCs w:val="24"/>
        </w:rPr>
      </w:pPr>
      <w:r w:rsidRPr="00467E60">
        <w:rPr>
          <w:rFonts w:ascii="Arial" w:eastAsia="Arial" w:hAnsi="Arial" w:cs="Times New Roman"/>
          <w:b/>
          <w:bCs/>
          <w:color w:val="7030A0"/>
          <w:sz w:val="24"/>
          <w:szCs w:val="24"/>
        </w:rPr>
        <w:t>2. Úplná</w:t>
      </w:r>
      <w:r w:rsidRPr="00467E60">
        <w:rPr>
          <w:rFonts w:ascii="Arial" w:eastAsia="Arial" w:hAnsi="Arial" w:cs="Times New Roman"/>
          <w:bCs/>
          <w:color w:val="7030A0"/>
          <w:sz w:val="24"/>
          <w:szCs w:val="24"/>
        </w:rPr>
        <w:t xml:space="preserve"> - inventarizace veškerého majetku </w:t>
      </w:r>
    </w:p>
    <w:p w:rsidR="00467E60" w:rsidRPr="00467E60" w:rsidRDefault="00467E60" w:rsidP="00467E60">
      <w:pPr>
        <w:rPr>
          <w:rFonts w:ascii="Arial" w:eastAsia="Arial" w:hAnsi="Arial" w:cs="Times New Roman"/>
          <w:bCs/>
          <w:color w:val="7030A0"/>
          <w:sz w:val="24"/>
          <w:szCs w:val="24"/>
        </w:rPr>
      </w:pPr>
    </w:p>
    <w:p w:rsidR="00467E60" w:rsidRPr="00467E60" w:rsidRDefault="00467E60" w:rsidP="00467E60">
      <w:pPr>
        <w:jc w:val="center"/>
        <w:rPr>
          <w:rFonts w:ascii="Arial" w:eastAsia="Arial" w:hAnsi="Arial" w:cs="Arial"/>
          <w:b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noProof/>
          <w:color w:val="40680C"/>
          <w:lang w:eastAsia="cs-CZ"/>
        </w:rPr>
        <w:lastRenderedPageBreak/>
        <w:drawing>
          <wp:inline distT="0" distB="0" distL="0" distR="0" wp14:anchorId="6F11DB26" wp14:editId="1B112CB4">
            <wp:extent cx="5648325" cy="1093832"/>
            <wp:effectExtent l="0" t="0" r="0" b="0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60" w:rsidRPr="00467E60" w:rsidRDefault="00467E60" w:rsidP="00467E60">
      <w:pPr>
        <w:jc w:val="center"/>
        <w:rPr>
          <w:rFonts w:ascii="Arial" w:eastAsia="Arial" w:hAnsi="Arial" w:cs="Arial"/>
          <w:b/>
          <w:bCs/>
          <w:color w:val="7030A0"/>
          <w:sz w:val="24"/>
          <w:szCs w:val="24"/>
        </w:rPr>
      </w:pPr>
    </w:p>
    <w:p w:rsidR="00467E60" w:rsidRPr="00467E60" w:rsidRDefault="00467E60" w:rsidP="00467E60">
      <w:pPr>
        <w:numPr>
          <w:ilvl w:val="0"/>
          <w:numId w:val="4"/>
        </w:numPr>
        <w:contextualSpacing/>
        <w:rPr>
          <w:rFonts w:ascii="Arial" w:eastAsia="Arial" w:hAnsi="Arial" w:cs="Arial"/>
          <w:b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 xml:space="preserve">Jednotlivé činnosti inventarizace: </w:t>
      </w:r>
    </w:p>
    <w:p w:rsidR="00467E60" w:rsidRPr="00467E60" w:rsidRDefault="00467E60" w:rsidP="00467E60">
      <w:pPr>
        <w:ind w:left="720"/>
        <w:contextualSpacing/>
        <w:rPr>
          <w:rFonts w:ascii="Arial" w:eastAsia="Arial" w:hAnsi="Arial" w:cs="Arial"/>
          <w:b/>
          <w:bCs/>
          <w:color w:val="7030A0"/>
          <w:sz w:val="24"/>
          <w:szCs w:val="24"/>
        </w:rPr>
      </w:pPr>
    </w:p>
    <w:p w:rsidR="00467E60" w:rsidRPr="00467E60" w:rsidRDefault="00467E60" w:rsidP="00467E60">
      <w:pPr>
        <w:numPr>
          <w:ilvl w:val="0"/>
          <w:numId w:val="5"/>
        </w:numPr>
        <w:ind w:left="851" w:hanging="425"/>
        <w:contextualSpacing/>
        <w:rPr>
          <w:rFonts w:ascii="Arial" w:eastAsia="Arial" w:hAnsi="Arial" w:cs="Arial"/>
          <w:b/>
          <w:bCs/>
          <w:color w:val="EB2BDD"/>
          <w:sz w:val="24"/>
          <w:szCs w:val="24"/>
        </w:rPr>
      </w:pPr>
      <w:r w:rsidRPr="00467E60">
        <w:rPr>
          <w:rFonts w:ascii="Arial" w:eastAsia="Arial" w:hAnsi="Arial" w:cs="Arial"/>
          <w:b/>
          <w:bCs/>
          <w:color w:val="EB2BDD"/>
          <w:sz w:val="24"/>
          <w:szCs w:val="24"/>
        </w:rPr>
        <w:t xml:space="preserve"> Inventura</w:t>
      </w:r>
    </w:p>
    <w:p w:rsidR="00467E60" w:rsidRPr="00467E60" w:rsidRDefault="00467E60" w:rsidP="00467E60">
      <w:pPr>
        <w:numPr>
          <w:ilvl w:val="0"/>
          <w:numId w:val="2"/>
        </w:numPr>
        <w:tabs>
          <w:tab w:val="num" w:pos="900"/>
        </w:tabs>
        <w:spacing w:before="240" w:after="0" w:line="240" w:lineRule="auto"/>
        <w:ind w:hanging="720"/>
        <w:rPr>
          <w:rFonts w:ascii="Arial" w:eastAsia="Arial" w:hAnsi="Arial" w:cs="Arial"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 xml:space="preserve">Fyzická </w:t>
      </w:r>
      <w:r w:rsidRPr="00467E60">
        <w:rPr>
          <w:rFonts w:ascii="Arial" w:eastAsia="Arial" w:hAnsi="Arial" w:cs="Arial"/>
          <w:color w:val="7030A0"/>
          <w:sz w:val="24"/>
          <w:szCs w:val="24"/>
        </w:rPr>
        <w:t xml:space="preserve">- zjišťuje se skutečný stav majetku počítáním, měřením, vážením  </w:t>
      </w:r>
    </w:p>
    <w:p w:rsidR="00467E60" w:rsidRPr="00467E60" w:rsidRDefault="00467E60" w:rsidP="00467E60">
      <w:pPr>
        <w:spacing w:before="240" w:after="0"/>
        <w:ind w:left="540"/>
        <w:rPr>
          <w:rFonts w:ascii="Arial" w:eastAsia="Arial" w:hAnsi="Arial" w:cs="Arial"/>
          <w:i/>
          <w:color w:val="7030A0"/>
          <w:sz w:val="24"/>
          <w:szCs w:val="24"/>
        </w:rPr>
      </w:pPr>
      <w:r w:rsidRPr="00467E60">
        <w:rPr>
          <w:rFonts w:ascii="Arial" w:eastAsia="Arial" w:hAnsi="Arial" w:cs="Arial"/>
          <w:color w:val="7030A0"/>
          <w:sz w:val="24"/>
          <w:szCs w:val="24"/>
        </w:rPr>
        <w:t xml:space="preserve">                   - používá se u hmotného a některého nehmotného majetku, zásob,           </w:t>
      </w:r>
      <w:r w:rsidRPr="00467E60">
        <w:rPr>
          <w:rFonts w:ascii="Arial" w:eastAsia="Arial" w:hAnsi="Arial" w:cs="Arial"/>
          <w:color w:val="7030A0"/>
          <w:sz w:val="24"/>
          <w:szCs w:val="24"/>
        </w:rPr>
        <w:tab/>
      </w:r>
      <w:r w:rsidRPr="00467E60">
        <w:rPr>
          <w:rFonts w:ascii="Arial" w:eastAsia="Arial" w:hAnsi="Arial" w:cs="Arial"/>
          <w:color w:val="7030A0"/>
          <w:sz w:val="24"/>
          <w:szCs w:val="24"/>
        </w:rPr>
        <w:tab/>
        <w:t xml:space="preserve">        peněz v pokladně, cenin </w:t>
      </w:r>
      <w:r w:rsidRPr="00467E60">
        <w:rPr>
          <w:rFonts w:ascii="Arial" w:eastAsia="Arial" w:hAnsi="Arial" w:cs="Arial"/>
          <w:i/>
          <w:color w:val="7030A0"/>
          <w:sz w:val="24"/>
          <w:szCs w:val="24"/>
        </w:rPr>
        <w:t xml:space="preserve">                             </w:t>
      </w:r>
    </w:p>
    <w:p w:rsidR="00467E60" w:rsidRPr="00467E60" w:rsidRDefault="00467E60" w:rsidP="00467E60">
      <w:pPr>
        <w:numPr>
          <w:ilvl w:val="0"/>
          <w:numId w:val="1"/>
        </w:numPr>
        <w:tabs>
          <w:tab w:val="num" w:pos="720"/>
        </w:tabs>
        <w:spacing w:before="240" w:after="0" w:line="240" w:lineRule="auto"/>
        <w:ind w:right="-648" w:hanging="1080"/>
        <w:rPr>
          <w:rFonts w:ascii="Arial" w:eastAsia="Arial" w:hAnsi="Arial" w:cs="Arial"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 xml:space="preserve">  Dokladová</w:t>
      </w:r>
      <w:r w:rsidRPr="00467E60">
        <w:rPr>
          <w:rFonts w:ascii="Arial" w:eastAsia="Arial" w:hAnsi="Arial" w:cs="Arial"/>
          <w:b/>
          <w:color w:val="7030A0"/>
          <w:sz w:val="24"/>
          <w:szCs w:val="24"/>
        </w:rPr>
        <w:t xml:space="preserve"> </w:t>
      </w:r>
      <w:r w:rsidRPr="00467E60">
        <w:rPr>
          <w:rFonts w:ascii="Arial" w:eastAsia="Arial" w:hAnsi="Arial" w:cs="Arial"/>
          <w:color w:val="7030A0"/>
          <w:sz w:val="24"/>
          <w:szCs w:val="24"/>
        </w:rPr>
        <w:t xml:space="preserve">- zjišťuje se skutečný stav majetku a závazků dle zaúčtovaných        </w:t>
      </w:r>
      <w:r w:rsidRPr="00467E60">
        <w:rPr>
          <w:rFonts w:ascii="Arial" w:eastAsia="Arial" w:hAnsi="Arial" w:cs="Arial"/>
          <w:color w:val="7030A0"/>
          <w:sz w:val="24"/>
          <w:szCs w:val="24"/>
        </w:rPr>
        <w:tab/>
        <w:t xml:space="preserve">  dokladů</w:t>
      </w: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 xml:space="preserve">                    </w:t>
      </w:r>
    </w:p>
    <w:p w:rsidR="00467E60" w:rsidRPr="00467E60" w:rsidRDefault="00467E60" w:rsidP="00467E60">
      <w:pPr>
        <w:spacing w:before="240" w:after="0" w:line="240" w:lineRule="auto"/>
        <w:ind w:left="1620" w:right="-648"/>
        <w:rPr>
          <w:rFonts w:ascii="Arial" w:eastAsia="Arial" w:hAnsi="Arial" w:cs="Arial"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t xml:space="preserve">        -</w:t>
      </w: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 xml:space="preserve"> </w:t>
      </w:r>
      <w:r w:rsidRPr="00467E60">
        <w:rPr>
          <w:rFonts w:ascii="Arial" w:eastAsia="Arial" w:hAnsi="Arial" w:cs="Arial"/>
          <w:color w:val="7030A0"/>
          <w:sz w:val="24"/>
          <w:szCs w:val="24"/>
        </w:rPr>
        <w:t xml:space="preserve">používá se u pohledávek, závazků, úvěrů, peněz na BÚ </w:t>
      </w:r>
    </w:p>
    <w:p w:rsidR="00467E60" w:rsidRPr="00467E60" w:rsidRDefault="00467E60" w:rsidP="00467E60">
      <w:pPr>
        <w:rPr>
          <w:rFonts w:ascii="Arial" w:eastAsia="Arial" w:hAnsi="Arial" w:cs="Arial"/>
          <w:color w:val="7030A0"/>
          <w:sz w:val="24"/>
          <w:szCs w:val="24"/>
        </w:rPr>
      </w:pPr>
    </w:p>
    <w:p w:rsidR="00467E60" w:rsidRPr="00467E60" w:rsidRDefault="00467E60" w:rsidP="00467E60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851" w:hanging="425"/>
        <w:textAlignment w:val="baseline"/>
        <w:rPr>
          <w:rFonts w:ascii="Arial" w:eastAsia="Times New Roman" w:hAnsi="Arial" w:cs="Arial"/>
          <w:b/>
          <w:bCs/>
          <w:color w:val="EB2BDD"/>
          <w:sz w:val="24"/>
          <w:szCs w:val="24"/>
          <w:lang w:eastAsia="cs-CZ"/>
        </w:rPr>
      </w:pPr>
      <w:r w:rsidRPr="00467E60">
        <w:rPr>
          <w:rFonts w:ascii="Arial" w:eastAsia="Times New Roman" w:hAnsi="Arial" w:cs="Arial"/>
          <w:b/>
          <w:bCs/>
          <w:color w:val="EB2BDD"/>
          <w:sz w:val="24"/>
          <w:szCs w:val="24"/>
          <w:lang w:eastAsia="cs-CZ"/>
        </w:rPr>
        <w:t>Porovnání skutečného stavu majetku a závazků se stavem účetním</w:t>
      </w:r>
      <w:r w:rsidRPr="00467E60">
        <w:rPr>
          <w:rFonts w:ascii="Arial" w:eastAsia="Times New Roman" w:hAnsi="Arial" w:cs="Arial"/>
          <w:color w:val="EB2BDD"/>
          <w:sz w:val="24"/>
          <w:szCs w:val="24"/>
          <w:lang w:eastAsia="cs-CZ"/>
        </w:rPr>
        <w:t xml:space="preserve">   </w:t>
      </w:r>
    </w:p>
    <w:p w:rsidR="00467E60" w:rsidRPr="00467E60" w:rsidRDefault="00467E60" w:rsidP="00467E60">
      <w:pPr>
        <w:overflowPunct w:val="0"/>
        <w:autoSpaceDE w:val="0"/>
        <w:autoSpaceDN w:val="0"/>
        <w:adjustRightInd w:val="0"/>
        <w:spacing w:after="0" w:line="240" w:lineRule="auto"/>
        <w:ind w:left="851"/>
        <w:textAlignment w:val="baseline"/>
        <w:rPr>
          <w:rFonts w:ascii="Arial" w:eastAsia="Times New Roman" w:hAnsi="Arial" w:cs="Arial"/>
          <w:b/>
          <w:bCs/>
          <w:color w:val="7030A0"/>
          <w:sz w:val="24"/>
          <w:szCs w:val="24"/>
          <w:lang w:eastAsia="cs-CZ"/>
        </w:rPr>
      </w:pPr>
      <w:r w:rsidRPr="00467E60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   </w:t>
      </w:r>
    </w:p>
    <w:p w:rsidR="00467E60" w:rsidRPr="00467E60" w:rsidRDefault="00467E60" w:rsidP="00467E60">
      <w:pPr>
        <w:rPr>
          <w:rFonts w:ascii="Arial" w:eastAsia="Arial" w:hAnsi="Arial" w:cs="Arial"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tab/>
        <w:t xml:space="preserve">  Porovnává se stav majetku a závazků zjištěný inventurou se </w:t>
      </w:r>
      <w:proofErr w:type="gramStart"/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t xml:space="preserve">stavem </w:t>
      </w:r>
      <w:r w:rsidR="009A5352">
        <w:rPr>
          <w:rFonts w:ascii="Arial" w:eastAsia="Arial" w:hAnsi="Arial" w:cs="Arial"/>
          <w:bCs/>
          <w:color w:val="7030A0"/>
          <w:sz w:val="24"/>
          <w:szCs w:val="24"/>
        </w:rPr>
        <w:br/>
        <w:t xml:space="preserve">             </w:t>
      </w:r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t>v  účetnictví</w:t>
      </w:r>
      <w:proofErr w:type="gramEnd"/>
    </w:p>
    <w:p w:rsidR="00467E60" w:rsidRPr="00467E60" w:rsidRDefault="00467E60" w:rsidP="00467E60">
      <w:pPr>
        <w:jc w:val="center"/>
        <w:rPr>
          <w:rFonts w:ascii="Arial" w:eastAsia="Arial" w:hAnsi="Arial" w:cs="Arial"/>
          <w:bCs/>
          <w:color w:val="7030A0"/>
          <w:sz w:val="24"/>
          <w:szCs w:val="24"/>
        </w:rPr>
      </w:pPr>
    </w:p>
    <w:p w:rsidR="00467E60" w:rsidRPr="00467E60" w:rsidRDefault="00467E60" w:rsidP="00467E60">
      <w:pPr>
        <w:jc w:val="center"/>
        <w:rPr>
          <w:rFonts w:ascii="Arial" w:eastAsia="Arial" w:hAnsi="Arial" w:cs="Arial"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Cs/>
          <w:noProof/>
          <w:color w:val="7030A0"/>
          <w:sz w:val="24"/>
          <w:szCs w:val="24"/>
          <w:lang w:eastAsia="cs-CZ"/>
        </w:rPr>
        <w:drawing>
          <wp:inline distT="0" distB="0" distL="0" distR="0" wp14:anchorId="32B5C611" wp14:editId="027C4D93">
            <wp:extent cx="3314700" cy="1752600"/>
            <wp:effectExtent l="0" t="0" r="0" b="0"/>
            <wp:docPr id="4" name="Obrázek 4" descr="C:\Users\knotkova\AppData\Local\Microsoft\Windows\Temporary Internet Files\Content.IE5\67NXHK4E\MC90043249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knotkova\AppData\Local\Microsoft\Windows\Temporary Internet Files\Content.IE5\67NXHK4E\MC900432493[1].wm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60" w:rsidRPr="00467E60" w:rsidRDefault="00467E60" w:rsidP="00467E60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b/>
          <w:bCs/>
          <w:color w:val="EB2BDD"/>
          <w:sz w:val="24"/>
          <w:szCs w:val="24"/>
          <w:lang w:eastAsia="cs-CZ"/>
        </w:rPr>
      </w:pPr>
      <w:r w:rsidRPr="00467E60">
        <w:rPr>
          <w:rFonts w:ascii="Arial" w:eastAsia="Times New Roman" w:hAnsi="Arial" w:cs="Arial"/>
          <w:b/>
          <w:bCs/>
          <w:color w:val="EB2BDD"/>
          <w:sz w:val="24"/>
          <w:szCs w:val="24"/>
          <w:lang w:eastAsia="cs-CZ"/>
        </w:rPr>
        <w:t>Zjištění inventarizačních rozdílů</w:t>
      </w:r>
    </w:p>
    <w:p w:rsidR="00467E60" w:rsidRPr="00467E60" w:rsidRDefault="00467E60" w:rsidP="00467E60">
      <w:pPr>
        <w:spacing w:after="0" w:line="240" w:lineRule="auto"/>
        <w:ind w:left="928"/>
        <w:rPr>
          <w:rFonts w:ascii="Arial" w:eastAsia="Times New Roman" w:hAnsi="Arial" w:cs="Arial"/>
          <w:b/>
          <w:bCs/>
          <w:color w:val="EB2BDD"/>
          <w:sz w:val="24"/>
          <w:szCs w:val="24"/>
          <w:lang w:eastAsia="cs-CZ"/>
        </w:rPr>
      </w:pPr>
    </w:p>
    <w:p w:rsidR="00467E60" w:rsidRPr="00467E60" w:rsidRDefault="00467E60" w:rsidP="00467E60">
      <w:pPr>
        <w:spacing w:after="0" w:line="240" w:lineRule="auto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467E60">
        <w:rPr>
          <w:rFonts w:ascii="Arial" w:eastAsia="Times New Roman" w:hAnsi="Arial" w:cs="Arial"/>
          <w:color w:val="7030A0"/>
          <w:sz w:val="24"/>
          <w:szCs w:val="24"/>
          <w:lang w:eastAsia="cs-CZ"/>
        </w:rPr>
        <w:tab/>
        <w:t xml:space="preserve">   Rozdíl mezi skutečným stavem a účetním stavem je </w:t>
      </w:r>
      <w:r w:rsidRPr="00467E60">
        <w:rPr>
          <w:rFonts w:ascii="Arial" w:eastAsia="Times New Roman" w:hAnsi="Arial" w:cs="Arial"/>
          <w:b/>
          <w:bCs/>
          <w:iCs/>
          <w:color w:val="7030A0"/>
          <w:sz w:val="24"/>
          <w:szCs w:val="24"/>
          <w:lang w:eastAsia="cs-CZ"/>
        </w:rPr>
        <w:t xml:space="preserve"> inventarizační rozdíl</w:t>
      </w:r>
      <w:r w:rsidRPr="00467E60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,   </w:t>
      </w:r>
      <w:r w:rsidRPr="00467E60">
        <w:rPr>
          <w:rFonts w:ascii="Arial" w:eastAsia="Times New Roman" w:hAnsi="Arial" w:cs="Arial"/>
          <w:color w:val="7030A0"/>
          <w:sz w:val="24"/>
          <w:szCs w:val="24"/>
          <w:lang w:eastAsia="cs-CZ"/>
        </w:rPr>
        <w:tab/>
        <w:t xml:space="preserve">   kterým může být buď </w:t>
      </w:r>
      <w:proofErr w:type="gramStart"/>
      <w:r w:rsidRPr="00467E60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manko nebo</w:t>
      </w:r>
      <w:proofErr w:type="gramEnd"/>
      <w:r w:rsidRPr="00467E60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 přebytek.</w:t>
      </w:r>
    </w:p>
    <w:p w:rsidR="00467E60" w:rsidRPr="00467E60" w:rsidRDefault="00467E60" w:rsidP="00467E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</w:p>
    <w:p w:rsidR="00467E60" w:rsidRPr="00467E60" w:rsidRDefault="00467E60" w:rsidP="00467E60">
      <w:pPr>
        <w:rPr>
          <w:rFonts w:ascii="Arial" w:eastAsia="Arial" w:hAnsi="Arial" w:cs="Arial"/>
          <w:color w:val="7030A0"/>
          <w:sz w:val="24"/>
          <w:szCs w:val="24"/>
        </w:rPr>
      </w:pPr>
      <w:r w:rsidRPr="00467E60">
        <w:rPr>
          <w:rFonts w:ascii="Arial" w:eastAsia="Arial" w:hAnsi="Arial" w:cs="Arial"/>
          <w:color w:val="7030A0"/>
          <w:sz w:val="24"/>
          <w:szCs w:val="24"/>
        </w:rPr>
        <w:t xml:space="preserve">               </w:t>
      </w: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 xml:space="preserve">- přebytek- </w:t>
      </w:r>
      <w:r w:rsidRPr="00467E60">
        <w:rPr>
          <w:rFonts w:ascii="Arial" w:eastAsia="Arial" w:hAnsi="Arial" w:cs="Arial"/>
          <w:color w:val="7030A0"/>
          <w:sz w:val="24"/>
          <w:szCs w:val="24"/>
        </w:rPr>
        <w:t>skutečný stav je vyšší než stav účetní</w:t>
      </w:r>
    </w:p>
    <w:p w:rsidR="00467E60" w:rsidRPr="00467E60" w:rsidRDefault="00467E60" w:rsidP="00467E60">
      <w:pPr>
        <w:rPr>
          <w:rFonts w:ascii="Arial" w:eastAsia="Arial" w:hAnsi="Arial" w:cs="Arial"/>
          <w:b/>
          <w:bCs/>
          <w:i/>
          <w:i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color w:val="7030A0"/>
          <w:sz w:val="24"/>
          <w:szCs w:val="24"/>
        </w:rPr>
        <w:t xml:space="preserve">               </w:t>
      </w: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 xml:space="preserve">- manko- </w:t>
      </w:r>
      <w:r w:rsidRPr="00467E60">
        <w:rPr>
          <w:rFonts w:ascii="Arial" w:eastAsia="Arial" w:hAnsi="Arial" w:cs="Arial"/>
          <w:color w:val="7030A0"/>
          <w:sz w:val="24"/>
          <w:szCs w:val="24"/>
        </w:rPr>
        <w:t xml:space="preserve">skutečný stav je nižší než stav účetní </w:t>
      </w:r>
    </w:p>
    <w:p w:rsidR="00467E60" w:rsidRPr="00467E60" w:rsidRDefault="00467E60" w:rsidP="00467E60">
      <w:pPr>
        <w:spacing w:after="120" w:line="240" w:lineRule="auto"/>
        <w:rPr>
          <w:rFonts w:ascii="Arial" w:eastAsia="Times New Roman" w:hAnsi="Arial" w:cs="Arial"/>
          <w:b/>
          <w:bCs/>
          <w:color w:val="EB2BDD"/>
          <w:sz w:val="24"/>
          <w:szCs w:val="24"/>
          <w:lang w:eastAsia="cs-CZ"/>
        </w:rPr>
      </w:pPr>
      <w:r w:rsidRPr="00467E60">
        <w:rPr>
          <w:rFonts w:ascii="Arial" w:eastAsia="Times New Roman" w:hAnsi="Arial" w:cs="Arial"/>
          <w:bCs/>
          <w:iCs/>
          <w:color w:val="7030A0"/>
          <w:sz w:val="24"/>
          <w:szCs w:val="24"/>
          <w:lang w:eastAsia="cs-CZ"/>
        </w:rPr>
        <w:lastRenderedPageBreak/>
        <w:t xml:space="preserve"> </w:t>
      </w:r>
      <w:r w:rsidRPr="00467E60">
        <w:rPr>
          <w:rFonts w:ascii="Arial" w:eastAsia="Times New Roman" w:hAnsi="Arial" w:cs="Arial"/>
          <w:b/>
          <w:noProof/>
          <w:color w:val="40680C"/>
          <w:sz w:val="16"/>
          <w:szCs w:val="16"/>
          <w:lang w:eastAsia="cs-CZ"/>
        </w:rPr>
        <w:drawing>
          <wp:inline distT="0" distB="0" distL="0" distR="0" wp14:anchorId="1B165E78" wp14:editId="4432EF98">
            <wp:extent cx="5648325" cy="1093832"/>
            <wp:effectExtent l="0" t="0" r="0" b="0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E60" w:rsidRPr="00467E60" w:rsidRDefault="00467E60" w:rsidP="00467E60">
      <w:pPr>
        <w:ind w:firstLine="567"/>
        <w:rPr>
          <w:rFonts w:ascii="Arial" w:eastAsia="Arial" w:hAnsi="Arial" w:cs="Arial"/>
          <w:b/>
          <w:bCs/>
          <w:color w:val="EB2BDD"/>
          <w:sz w:val="24"/>
          <w:szCs w:val="24"/>
        </w:rPr>
      </w:pPr>
    </w:p>
    <w:p w:rsidR="00467E60" w:rsidRPr="00467E60" w:rsidRDefault="00467E60" w:rsidP="00467E60">
      <w:pPr>
        <w:ind w:firstLine="567"/>
        <w:rPr>
          <w:rFonts w:ascii="Arial" w:eastAsia="Arial" w:hAnsi="Arial" w:cs="Arial"/>
          <w:color w:val="EB2BDD"/>
          <w:sz w:val="24"/>
          <w:szCs w:val="24"/>
        </w:rPr>
      </w:pPr>
      <w:proofErr w:type="gramStart"/>
      <w:r w:rsidRPr="00467E60">
        <w:rPr>
          <w:rFonts w:ascii="Arial" w:eastAsia="Arial" w:hAnsi="Arial" w:cs="Arial"/>
          <w:b/>
          <w:bCs/>
          <w:color w:val="EB2BDD"/>
          <w:sz w:val="24"/>
          <w:szCs w:val="24"/>
        </w:rPr>
        <w:t>4)  Zaúčtování</w:t>
      </w:r>
      <w:proofErr w:type="gramEnd"/>
      <w:r w:rsidRPr="00467E60">
        <w:rPr>
          <w:rFonts w:ascii="Arial" w:eastAsia="Arial" w:hAnsi="Arial" w:cs="Arial"/>
          <w:b/>
          <w:bCs/>
          <w:color w:val="EB2BDD"/>
          <w:sz w:val="24"/>
          <w:szCs w:val="24"/>
        </w:rPr>
        <w:t xml:space="preserve"> inventarizačních rozdílů do účetního  období</w:t>
      </w:r>
    </w:p>
    <w:p w:rsidR="00467E60" w:rsidRPr="00467E60" w:rsidRDefault="00467E60" w:rsidP="00467E60">
      <w:pPr>
        <w:rPr>
          <w:rFonts w:ascii="Arial" w:eastAsia="Arial" w:hAnsi="Arial" w:cs="Arial"/>
          <w:color w:val="7030A0"/>
          <w:sz w:val="24"/>
          <w:szCs w:val="24"/>
        </w:rPr>
      </w:pPr>
      <w:r w:rsidRPr="00467E60">
        <w:rPr>
          <w:rFonts w:ascii="Arial" w:eastAsia="Arial" w:hAnsi="Arial" w:cs="Arial"/>
          <w:color w:val="7030A0"/>
          <w:sz w:val="24"/>
          <w:szCs w:val="24"/>
        </w:rPr>
        <w:t xml:space="preserve">     </w:t>
      </w:r>
      <w:r w:rsidRPr="00467E60">
        <w:rPr>
          <w:rFonts w:ascii="Arial" w:eastAsia="Arial" w:hAnsi="Arial" w:cs="Arial"/>
          <w:color w:val="7030A0"/>
          <w:sz w:val="24"/>
          <w:szCs w:val="24"/>
        </w:rPr>
        <w:tab/>
        <w:t xml:space="preserve">   Inventarizační rozdíly musí účetní jednotky vyúčtovat do účetního období, za </w:t>
      </w:r>
      <w:r w:rsidRPr="00467E60">
        <w:rPr>
          <w:rFonts w:ascii="Arial" w:eastAsia="Arial" w:hAnsi="Arial" w:cs="Arial"/>
          <w:color w:val="7030A0"/>
          <w:sz w:val="24"/>
          <w:szCs w:val="24"/>
        </w:rPr>
        <w:tab/>
        <w:t xml:space="preserve">   které se inventarizací ověřuje stav majetku a závazků. </w:t>
      </w:r>
    </w:p>
    <w:p w:rsidR="00467E60" w:rsidRPr="00467E60" w:rsidRDefault="00467E60" w:rsidP="00467E60">
      <w:pPr>
        <w:spacing w:line="240" w:lineRule="auto"/>
        <w:ind w:left="540"/>
        <w:rPr>
          <w:rFonts w:ascii="Arial" w:eastAsia="Arial" w:hAnsi="Arial" w:cs="Arial"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/>
          <w:bCs/>
          <w:color w:val="7030A0"/>
          <w:sz w:val="24"/>
          <w:szCs w:val="24"/>
        </w:rPr>
        <w:t xml:space="preserve">      </w:t>
      </w:r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t xml:space="preserve">- do normy                                     </w:t>
      </w:r>
    </w:p>
    <w:p w:rsidR="00467E60" w:rsidRPr="00467E60" w:rsidRDefault="00467E60" w:rsidP="00467E60">
      <w:pPr>
        <w:spacing w:line="240" w:lineRule="auto"/>
        <w:ind w:left="540"/>
        <w:rPr>
          <w:rFonts w:ascii="Arial" w:eastAsia="Arial" w:hAnsi="Arial" w:cs="Arial"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t xml:space="preserve">      - nad normu                                     </w:t>
      </w:r>
    </w:p>
    <w:p w:rsidR="00467E60" w:rsidRPr="00467E60" w:rsidRDefault="00467E60" w:rsidP="00467E60">
      <w:pPr>
        <w:spacing w:line="240" w:lineRule="auto"/>
        <w:ind w:left="540"/>
        <w:rPr>
          <w:rFonts w:ascii="Arial" w:eastAsia="Arial" w:hAnsi="Arial" w:cs="Arial"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tab/>
        <w:t xml:space="preserve">   - zaviněné</w:t>
      </w:r>
    </w:p>
    <w:p w:rsidR="00467E60" w:rsidRPr="00467E60" w:rsidRDefault="00467E60" w:rsidP="00467E60">
      <w:pPr>
        <w:spacing w:line="240" w:lineRule="auto"/>
        <w:ind w:left="540"/>
        <w:rPr>
          <w:rFonts w:ascii="Arial" w:eastAsia="Arial" w:hAnsi="Arial" w:cs="Arial"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t xml:space="preserve">      - nezaviněné   </w:t>
      </w:r>
    </w:p>
    <w:p w:rsidR="00467E60" w:rsidRDefault="00467E60" w:rsidP="00467E60">
      <w:pPr>
        <w:spacing w:line="240" w:lineRule="auto"/>
        <w:ind w:left="540"/>
        <w:rPr>
          <w:rFonts w:ascii="Arial" w:eastAsia="Arial" w:hAnsi="Arial" w:cs="Arial"/>
          <w:bCs/>
          <w:color w:val="7030A0"/>
          <w:sz w:val="24"/>
          <w:szCs w:val="24"/>
        </w:rPr>
      </w:pPr>
      <w:r w:rsidRPr="00467E60">
        <w:rPr>
          <w:rFonts w:ascii="Arial" w:eastAsia="Arial" w:hAnsi="Arial" w:cs="Arial"/>
          <w:bCs/>
          <w:color w:val="7030A0"/>
          <w:sz w:val="24"/>
          <w:szCs w:val="24"/>
        </w:rPr>
        <w:br w:type="textWrapping" w:clear="all"/>
      </w:r>
    </w:p>
    <w:p w:rsidR="009F433B" w:rsidRDefault="009F433B" w:rsidP="00467E60">
      <w:pPr>
        <w:spacing w:line="240" w:lineRule="auto"/>
        <w:ind w:left="540"/>
        <w:rPr>
          <w:rFonts w:ascii="Arial" w:eastAsia="Arial" w:hAnsi="Arial" w:cs="Arial"/>
          <w:bCs/>
          <w:color w:val="7030A0"/>
          <w:sz w:val="24"/>
          <w:szCs w:val="24"/>
        </w:rPr>
      </w:pPr>
    </w:p>
    <w:p w:rsidR="009F433B" w:rsidRPr="00467E60" w:rsidRDefault="009F433B" w:rsidP="00467E60">
      <w:pPr>
        <w:spacing w:line="240" w:lineRule="auto"/>
        <w:ind w:left="540"/>
        <w:rPr>
          <w:rFonts w:ascii="Arial" w:eastAsia="Arial" w:hAnsi="Arial" w:cs="Arial"/>
          <w:bCs/>
          <w:color w:val="7030A0"/>
          <w:sz w:val="24"/>
          <w:szCs w:val="24"/>
        </w:rPr>
      </w:pPr>
    </w:p>
    <w:p w:rsidR="009F433B" w:rsidRPr="009F433B" w:rsidRDefault="009F433B" w:rsidP="009F433B">
      <w:pPr>
        <w:spacing w:line="240" w:lineRule="auto"/>
        <w:ind w:left="540"/>
        <w:rPr>
          <w:rFonts w:ascii="Arial" w:eastAsia="Arial" w:hAnsi="Arial" w:cs="Arial"/>
          <w:bCs/>
          <w:color w:val="7030A0"/>
          <w:sz w:val="24"/>
          <w:szCs w:val="24"/>
        </w:rPr>
      </w:pPr>
    </w:p>
    <w:p w:rsidR="009F433B" w:rsidRPr="009F433B" w:rsidRDefault="009F433B" w:rsidP="009F433B">
      <w:pPr>
        <w:spacing w:line="240" w:lineRule="auto"/>
        <w:ind w:left="540"/>
        <w:rPr>
          <w:rFonts w:ascii="Arial" w:eastAsia="Arial" w:hAnsi="Arial" w:cs="Arial"/>
          <w:bCs/>
          <w:color w:val="7030A0"/>
          <w:sz w:val="24"/>
          <w:szCs w:val="24"/>
        </w:rPr>
      </w:pPr>
      <w:r w:rsidRPr="009F433B">
        <w:rPr>
          <w:rFonts w:ascii="Arial" w:eastAsia="Arial" w:hAnsi="Arial" w:cs="Arial"/>
          <w:bCs/>
          <w:noProof/>
          <w:color w:val="7030A0"/>
          <w:sz w:val="24"/>
          <w:szCs w:val="24"/>
          <w:lang w:eastAsia="cs-CZ"/>
        </w:rPr>
        <w:drawing>
          <wp:inline distT="0" distB="0" distL="0" distR="0" wp14:anchorId="001EE823" wp14:editId="3CBC29A2">
            <wp:extent cx="5019675" cy="2257425"/>
            <wp:effectExtent l="0" t="19050" r="9525" b="0"/>
            <wp:docPr id="8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9F433B" w:rsidRPr="009F433B" w:rsidRDefault="009F433B" w:rsidP="009F433B">
      <w:pPr>
        <w:numPr>
          <w:ilvl w:val="0"/>
          <w:numId w:val="6"/>
        </w:numPr>
        <w:spacing w:before="100" w:beforeAutospacing="1" w:after="100" w:afterAutospacing="1" w:line="480" w:lineRule="auto"/>
        <w:contextualSpacing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  <w:r w:rsidRPr="009F433B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Interní zdroje - odpisy, nerozdělený zisk, dlouhodobé rezervy</w:t>
      </w:r>
    </w:p>
    <w:p w:rsidR="009B06DE" w:rsidRPr="00B84A0A" w:rsidRDefault="009F433B" w:rsidP="009F433B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</w:pPr>
      <w:r w:rsidRPr="009F433B">
        <w:rPr>
          <w:rFonts w:ascii="Arial" w:eastAsia="Times New Roman" w:hAnsi="Arial" w:cs="Arial"/>
          <w:color w:val="7030A0"/>
          <w:sz w:val="24"/>
          <w:szCs w:val="24"/>
          <w:lang w:eastAsia="cs-CZ"/>
        </w:rPr>
        <w:t xml:space="preserve">Externí zdroje - dlouhodobé úvěry, finanční leasing, dotace, podílové </w:t>
      </w:r>
      <w:bookmarkStart w:id="0" w:name="_GoBack"/>
      <w:bookmarkEnd w:id="0"/>
      <w:r w:rsidRPr="009F433B">
        <w:rPr>
          <w:rFonts w:ascii="Arial" w:eastAsia="Times New Roman" w:hAnsi="Arial" w:cs="Arial"/>
          <w:color w:val="7030A0"/>
          <w:sz w:val="24"/>
          <w:szCs w:val="24"/>
          <w:lang w:eastAsia="cs-CZ"/>
        </w:rPr>
        <w:t>listy, prodej podílu na firmě, tichý společník</w:t>
      </w:r>
    </w:p>
    <w:p w:rsidR="00B84A0A" w:rsidRDefault="00B84A0A" w:rsidP="00B84A0A">
      <w:pPr>
        <w:spacing w:before="100" w:beforeAutospacing="1" w:after="100" w:afterAutospacing="1" w:line="240" w:lineRule="auto"/>
        <w:contextualSpacing/>
        <w:rPr>
          <w:rFonts w:ascii="Arial" w:eastAsia="Times New Roman" w:hAnsi="Arial" w:cs="Arial"/>
          <w:color w:val="7030A0"/>
          <w:sz w:val="24"/>
          <w:szCs w:val="24"/>
          <w:lang w:eastAsia="cs-CZ"/>
        </w:rPr>
      </w:pPr>
    </w:p>
    <w:p w:rsidR="00B84A0A" w:rsidRDefault="00B84A0A" w:rsidP="00B84A0A">
      <w:pPr>
        <w:spacing w:before="100" w:beforeAutospacing="1" w:after="100" w:afterAutospacing="1" w:line="240" w:lineRule="auto"/>
        <w:contextualSpacing/>
      </w:pPr>
      <w:r w:rsidRPr="00467E60">
        <w:rPr>
          <w:rFonts w:ascii="Arial" w:eastAsia="Times New Roman" w:hAnsi="Arial" w:cs="Arial"/>
          <w:b/>
          <w:noProof/>
          <w:color w:val="40680C"/>
          <w:sz w:val="16"/>
          <w:szCs w:val="16"/>
          <w:lang w:eastAsia="cs-CZ"/>
        </w:rPr>
        <w:lastRenderedPageBreak/>
        <w:drawing>
          <wp:inline distT="0" distB="0" distL="0" distR="0" wp14:anchorId="3B7677C0" wp14:editId="4ADCCCBA">
            <wp:extent cx="5648325" cy="1093832"/>
            <wp:effectExtent l="0" t="0" r="0" b="0"/>
            <wp:docPr id="9" name="Obrázek 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A0A" w:rsidRDefault="00B84A0A" w:rsidP="00B84A0A">
      <w:pPr>
        <w:spacing w:before="100" w:beforeAutospacing="1" w:after="100" w:afterAutospacing="1" w:line="240" w:lineRule="auto"/>
        <w:contextualSpacing/>
      </w:pPr>
    </w:p>
    <w:p w:rsidR="00B84A0A" w:rsidRDefault="00B84A0A" w:rsidP="00B84A0A">
      <w:pPr>
        <w:spacing w:before="100" w:beforeAutospacing="1" w:after="100" w:afterAutospacing="1" w:line="240" w:lineRule="auto"/>
        <w:contextualSpacing/>
      </w:pPr>
    </w:p>
    <w:p w:rsidR="00B84A0A" w:rsidRPr="00AB17F0" w:rsidRDefault="00B84A0A" w:rsidP="00B84A0A">
      <w:pPr>
        <w:ind w:left="709"/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Použité zdroje:</w:t>
      </w:r>
    </w:p>
    <w:p w:rsidR="00B84A0A" w:rsidRPr="00AB17F0" w:rsidRDefault="00B84A0A" w:rsidP="00B84A0A">
      <w:pPr>
        <w:rPr>
          <w:rFonts w:ascii="Arial" w:eastAsia="Arial" w:hAnsi="Arial" w:cs="Arial"/>
          <w:sz w:val="24"/>
          <w:szCs w:val="24"/>
        </w:rPr>
      </w:pPr>
    </w:p>
    <w:p w:rsidR="00B84A0A" w:rsidRPr="00AB17F0" w:rsidRDefault="00B84A0A" w:rsidP="00B84A0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Z</w:t>
      </w:r>
      <w:r w:rsidRPr="00AB17F0">
        <w:rPr>
          <w:rFonts w:ascii="Arial" w:eastAsia="Arial" w:hAnsi="Arial" w:cs="Arial"/>
          <w:iCs/>
          <w:sz w:val="24"/>
          <w:szCs w:val="24"/>
        </w:rPr>
        <w:t>ákon č. 563/1992 Sb., o účetnictví</w:t>
      </w:r>
      <w:r w:rsidRPr="00AB17F0">
        <w:rPr>
          <w:rFonts w:ascii="Arial" w:eastAsia="Arial" w:hAnsi="Arial" w:cs="Arial"/>
          <w:sz w:val="24"/>
          <w:szCs w:val="24"/>
        </w:rPr>
        <w:t xml:space="preserve"> </w:t>
      </w:r>
    </w:p>
    <w:p w:rsidR="00B84A0A" w:rsidRPr="00AB17F0" w:rsidRDefault="00B84A0A" w:rsidP="00B84A0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 xml:space="preserve">- Zákon č. 586/1992 Sb., o daních z příjmu </w:t>
      </w:r>
    </w:p>
    <w:p w:rsidR="00B84A0A" w:rsidRPr="00AB17F0" w:rsidRDefault="00B84A0A" w:rsidP="00B84A0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Vyhláška č. 500/2002 Sb., zákon o účetnictví, České účetní standardy</w:t>
      </w:r>
    </w:p>
    <w:p w:rsidR="00B84A0A" w:rsidRPr="00AB17F0" w:rsidRDefault="00B84A0A" w:rsidP="00B84A0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Obrázky webu Office.com</w:t>
      </w:r>
    </w:p>
    <w:p w:rsidR="00B84A0A" w:rsidRPr="00AB17F0" w:rsidRDefault="00B84A0A" w:rsidP="00B84A0A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Vlastní zdroje</w:t>
      </w:r>
    </w:p>
    <w:p w:rsidR="00B84A0A" w:rsidRPr="003C0374" w:rsidRDefault="00B84A0A" w:rsidP="00B84A0A">
      <w:pPr>
        <w:spacing w:after="0" w:line="240" w:lineRule="auto"/>
        <w:ind w:left="180"/>
        <w:jc w:val="center"/>
        <w:rPr>
          <w:rFonts w:ascii="Arial" w:eastAsia="Times New Roman" w:hAnsi="Arial" w:cs="Arial"/>
          <w:color w:val="CE488E"/>
          <w:sz w:val="24"/>
          <w:szCs w:val="24"/>
          <w:lang w:eastAsia="cs-CZ"/>
        </w:rPr>
      </w:pPr>
    </w:p>
    <w:p w:rsidR="00B84A0A" w:rsidRDefault="00B84A0A" w:rsidP="00B84A0A"/>
    <w:p w:rsidR="00B84A0A" w:rsidRDefault="00B84A0A" w:rsidP="00B84A0A">
      <w:pPr>
        <w:spacing w:before="100" w:beforeAutospacing="1" w:after="100" w:afterAutospacing="1" w:line="240" w:lineRule="auto"/>
        <w:contextualSpacing/>
      </w:pPr>
    </w:p>
    <w:sectPr w:rsidR="00B84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79_"/>
      </v:shape>
    </w:pict>
  </w:numPicBullet>
  <w:numPicBullet w:numPicBulletId="1">
    <w:pict>
      <v:shape id="_x0000_i1027" type="#_x0000_t75" style="width:11.25pt;height:9.75pt" o:bullet="t">
        <v:imagedata r:id="rId2" o:title="BD21295_"/>
      </v:shape>
    </w:pict>
  </w:numPicBullet>
  <w:abstractNum w:abstractNumId="0">
    <w:nsid w:val="16C06A0A"/>
    <w:multiLevelType w:val="hybridMultilevel"/>
    <w:tmpl w:val="4FB08B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008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D33B7"/>
    <w:multiLevelType w:val="hybridMultilevel"/>
    <w:tmpl w:val="A1CA3072"/>
    <w:lvl w:ilvl="0" w:tplc="04050011">
      <w:start w:val="1"/>
      <w:numFmt w:val="decimal"/>
      <w:lvlText w:val="%1)"/>
      <w:lvlJc w:val="left"/>
      <w:pPr>
        <w:ind w:left="928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195346E"/>
    <w:multiLevelType w:val="hybridMultilevel"/>
    <w:tmpl w:val="20328048"/>
    <w:lvl w:ilvl="0" w:tplc="49603E14">
      <w:start w:val="1"/>
      <w:numFmt w:val="bullet"/>
      <w:lvlText w:val=""/>
      <w:lvlPicBulletId w:val="1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3CF87A1A">
      <w:start w:val="8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545165E8"/>
    <w:multiLevelType w:val="hybridMultilevel"/>
    <w:tmpl w:val="6B90EE7C"/>
    <w:lvl w:ilvl="0" w:tplc="0405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832174A"/>
    <w:multiLevelType w:val="hybridMultilevel"/>
    <w:tmpl w:val="F38838F0"/>
    <w:lvl w:ilvl="0" w:tplc="29CE3CF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47236C"/>
    <w:multiLevelType w:val="hybridMultilevel"/>
    <w:tmpl w:val="204A1926"/>
    <w:lvl w:ilvl="0" w:tplc="0405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E60"/>
    <w:rsid w:val="00010063"/>
    <w:rsid w:val="001A6803"/>
    <w:rsid w:val="00467E60"/>
    <w:rsid w:val="004A0E66"/>
    <w:rsid w:val="004E4EB4"/>
    <w:rsid w:val="0051127A"/>
    <w:rsid w:val="00560803"/>
    <w:rsid w:val="00635CF9"/>
    <w:rsid w:val="006556ED"/>
    <w:rsid w:val="006C46AC"/>
    <w:rsid w:val="00897B93"/>
    <w:rsid w:val="009A5352"/>
    <w:rsid w:val="009B06DE"/>
    <w:rsid w:val="009F433B"/>
    <w:rsid w:val="00B3538A"/>
    <w:rsid w:val="00B84A0A"/>
    <w:rsid w:val="00E5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67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67E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67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67E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5.wmf"/><Relationship Id="rId18" Type="http://schemas.microsoft.com/office/2007/relationships/diagramDrawing" Target="diagrams/drawing2.xml"/><Relationship Id="rId3" Type="http://schemas.microsoft.com/office/2007/relationships/stylesWithEffects" Target="stylesWithEffects.xml"/><Relationship Id="rId7" Type="http://schemas.openxmlformats.org/officeDocument/2006/relationships/image" Target="media/image4.jpeg"/><Relationship Id="rId12" Type="http://schemas.microsoft.com/office/2007/relationships/diagramDrawing" Target="diagrams/drawing1.xml"/><Relationship Id="rId17" Type="http://schemas.openxmlformats.org/officeDocument/2006/relationships/diagramColors" Target="diagrams/colors2.xml"/><Relationship Id="rId2" Type="http://schemas.openxmlformats.org/officeDocument/2006/relationships/styles" Target="styles.xml"/><Relationship Id="rId16" Type="http://schemas.openxmlformats.org/officeDocument/2006/relationships/diagramQuickStyle" Target="diagrams/quickStyle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Data" Target="diagrams/data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891B741-8CCB-47EF-B848-BE44AE29C647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E893BAF5-938F-46DF-A727-F9871E368D19}">
      <dgm:prSet phldrT="[Text]" custT="1"/>
      <dgm:spPr>
        <a:xfrm>
          <a:off x="0" y="0"/>
          <a:ext cx="5486400" cy="1228725"/>
        </a:xfrm>
        <a:solidFill>
          <a:srgbClr val="5ECCF3">
            <a:lumMod val="20000"/>
            <a:lumOff val="80000"/>
          </a:srgbClr>
        </a:solidFill>
        <a:ln w="15875" cap="flat" cmpd="sng" algn="ctr">
          <a:solidFill>
            <a:srgbClr val="A7EA52">
              <a:lumMod val="20000"/>
              <a:lumOff val="80000"/>
            </a:srgbClr>
          </a:solidFill>
          <a:prstDash val="solid"/>
        </a:ln>
        <a:effectLst/>
      </dgm:spPr>
      <dgm:t>
        <a:bodyPr/>
        <a:lstStyle/>
        <a:p>
          <a:r>
            <a:rPr lang="cs-CZ" sz="2000" b="1" i="0">
              <a:solidFill>
                <a:srgbClr val="F14124">
                  <a:lumMod val="40000"/>
                  <a:lumOff val="60000"/>
                </a:srgbClr>
              </a:solidFill>
              <a:latin typeface="Arial"/>
              <a:ea typeface="+mn-ea"/>
              <a:cs typeface="+mn-cs"/>
            </a:rPr>
            <a:t>Inventarizace</a:t>
          </a:r>
        </a:p>
      </dgm:t>
    </dgm:pt>
    <dgm:pt modelId="{B5AB57FC-131C-4ED8-9C4D-78AC139889A3}" type="parTrans" cxnId="{383A094A-714B-44E9-B3A9-B44ADCF8BB2C}">
      <dgm:prSet/>
      <dgm:spPr/>
      <dgm:t>
        <a:bodyPr/>
        <a:lstStyle/>
        <a:p>
          <a:endParaRPr lang="cs-CZ"/>
        </a:p>
      </dgm:t>
    </dgm:pt>
    <dgm:pt modelId="{121C1B07-D450-47B1-A1F5-AB7B223198D1}" type="sibTrans" cxnId="{383A094A-714B-44E9-B3A9-B44ADCF8BB2C}">
      <dgm:prSet/>
      <dgm:spPr/>
      <dgm:t>
        <a:bodyPr/>
        <a:lstStyle/>
        <a:p>
          <a:endParaRPr lang="cs-CZ"/>
        </a:p>
      </dgm:t>
    </dgm:pt>
    <dgm:pt modelId="{3CE2DEE2-2BE8-493C-AA82-BFDD6C87642A}" type="pres">
      <dgm:prSet presAssocID="{A891B741-8CCB-47EF-B848-BE44AE29C647}" presName="Name0" presStyleCnt="0">
        <dgm:presLayoutVars>
          <dgm:dir/>
          <dgm:animLvl val="lvl"/>
          <dgm:resizeHandles val="exact"/>
        </dgm:presLayoutVars>
      </dgm:prSet>
      <dgm:spPr/>
    </dgm:pt>
    <dgm:pt modelId="{C134354D-7541-46D8-9C35-6813C7D65FD0}" type="pres">
      <dgm:prSet presAssocID="{E893BAF5-938F-46DF-A727-F9871E368D19}" presName="Name8" presStyleCnt="0"/>
      <dgm:spPr/>
    </dgm:pt>
    <dgm:pt modelId="{468CE3FF-0712-40BA-98BB-560A5122F2E1}" type="pres">
      <dgm:prSet presAssocID="{E893BAF5-938F-46DF-A727-F9871E368D19}" presName="level" presStyleLbl="node1" presStyleIdx="0" presStyleCnt="1">
        <dgm:presLayoutVars>
          <dgm:chMax val="1"/>
          <dgm:bulletEnabled val="1"/>
        </dgm:presLayoutVars>
      </dgm:prSet>
      <dgm:spPr>
        <a:prstGeom prst="trapezoid">
          <a:avLst>
            <a:gd name="adj" fmla="val 223256"/>
          </a:avLst>
        </a:prstGeom>
      </dgm:spPr>
      <dgm:t>
        <a:bodyPr/>
        <a:lstStyle/>
        <a:p>
          <a:endParaRPr lang="cs-CZ"/>
        </a:p>
      </dgm:t>
    </dgm:pt>
    <dgm:pt modelId="{72F9044D-40CA-43AE-9A35-96455043FEC1}" type="pres">
      <dgm:prSet presAssocID="{E893BAF5-938F-46DF-A727-F9871E368D1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</dgm:ptLst>
  <dgm:cxnLst>
    <dgm:cxn modelId="{CE975F47-E829-4E89-8297-7AEE977813F8}" type="presOf" srcId="{E893BAF5-938F-46DF-A727-F9871E368D19}" destId="{468CE3FF-0712-40BA-98BB-560A5122F2E1}" srcOrd="0" destOrd="0" presId="urn:microsoft.com/office/officeart/2005/8/layout/pyramid1"/>
    <dgm:cxn modelId="{D57A6603-842A-47D0-B28E-2A174E6F4EAE}" type="presOf" srcId="{A891B741-8CCB-47EF-B848-BE44AE29C647}" destId="{3CE2DEE2-2BE8-493C-AA82-BFDD6C87642A}" srcOrd="0" destOrd="0" presId="urn:microsoft.com/office/officeart/2005/8/layout/pyramid1"/>
    <dgm:cxn modelId="{383A094A-714B-44E9-B3A9-B44ADCF8BB2C}" srcId="{A891B741-8CCB-47EF-B848-BE44AE29C647}" destId="{E893BAF5-938F-46DF-A727-F9871E368D19}" srcOrd="0" destOrd="0" parTransId="{B5AB57FC-131C-4ED8-9C4D-78AC139889A3}" sibTransId="{121C1B07-D450-47B1-A1F5-AB7B223198D1}"/>
    <dgm:cxn modelId="{A72F6D55-C166-4E93-ACD3-69906E0F8E41}" type="presOf" srcId="{E893BAF5-938F-46DF-A727-F9871E368D19}" destId="{72F9044D-40CA-43AE-9A35-96455043FEC1}" srcOrd="1" destOrd="0" presId="urn:microsoft.com/office/officeart/2005/8/layout/pyramid1"/>
    <dgm:cxn modelId="{2CAA48F6-F3D8-44AA-9183-84E88D3AF697}" type="presParOf" srcId="{3CE2DEE2-2BE8-493C-AA82-BFDD6C87642A}" destId="{C134354D-7541-46D8-9C35-6813C7D65FD0}" srcOrd="0" destOrd="0" presId="urn:microsoft.com/office/officeart/2005/8/layout/pyramid1"/>
    <dgm:cxn modelId="{FD6B3012-1FEC-404C-84BB-0695AABEE2B8}" type="presParOf" srcId="{C134354D-7541-46D8-9C35-6813C7D65FD0}" destId="{468CE3FF-0712-40BA-98BB-560A5122F2E1}" srcOrd="0" destOrd="0" presId="urn:microsoft.com/office/officeart/2005/8/layout/pyramid1"/>
    <dgm:cxn modelId="{412876F9-6637-4615-B624-FDD1D66E8AA2}" type="presParOf" srcId="{C134354D-7541-46D8-9C35-6813C7D65FD0}" destId="{72F9044D-40CA-43AE-9A35-96455043FEC1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8C52581-F62A-4082-B19B-2191F1615C7F}" type="doc">
      <dgm:prSet loTypeId="urn:microsoft.com/office/officeart/2005/8/layout/pyramid1" loCatId="pyramid" qsTypeId="urn:microsoft.com/office/officeart/2005/8/quickstyle/simple1" qsCatId="simple" csTypeId="urn:microsoft.com/office/officeart/2005/8/colors/accent1_2" csCatId="accent1" phldr="1"/>
      <dgm:spPr/>
    </dgm:pt>
    <dgm:pt modelId="{DD4E32BB-F32B-46F4-BF69-2D61D5FF28D5}">
      <dgm:prSet phldrT="[Text]" custT="1"/>
      <dgm:spPr>
        <a:xfrm>
          <a:off x="1049831" y="0"/>
          <a:ext cx="2226885" cy="788688"/>
        </a:xfrm>
        <a:solidFill>
          <a:srgbClr val="F14124">
            <a:lumMod val="20000"/>
            <a:lumOff val="8000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 sz="1800">
              <a:solidFill>
                <a:srgbClr val="EB2BDD"/>
              </a:solidFill>
              <a:latin typeface="Arial"/>
              <a:ea typeface="+mn-ea"/>
              <a:cs typeface="+mn-cs"/>
            </a:rPr>
            <a:t>Zdroje</a:t>
          </a:r>
        </a:p>
      </dgm:t>
    </dgm:pt>
    <dgm:pt modelId="{E696CA6C-51E8-4958-946B-B0D6DE6B2A46}" type="parTrans" cxnId="{A982B0A6-AF05-4E83-B215-B8E1A5999306}">
      <dgm:prSet/>
      <dgm:spPr/>
      <dgm:t>
        <a:bodyPr/>
        <a:lstStyle/>
        <a:p>
          <a:endParaRPr lang="cs-CZ"/>
        </a:p>
      </dgm:t>
    </dgm:pt>
    <dgm:pt modelId="{5FCF6F74-FC92-4405-9C3C-5E23AE887C09}" type="sibTrans" cxnId="{A982B0A6-AF05-4E83-B215-B8E1A5999306}">
      <dgm:prSet/>
      <dgm:spPr/>
      <dgm:t>
        <a:bodyPr/>
        <a:lstStyle/>
        <a:p>
          <a:endParaRPr lang="cs-CZ"/>
        </a:p>
      </dgm:t>
    </dgm:pt>
    <dgm:pt modelId="{99A76125-C967-48F5-947A-BE2F61E9E240}">
      <dgm:prSet phldrT="[Text]" custT="1"/>
      <dgm:spPr>
        <a:xfrm>
          <a:off x="1343043" y="495067"/>
          <a:ext cx="3657618" cy="1154411"/>
        </a:xfrm>
        <a:solidFill>
          <a:srgbClr val="4E67C8">
            <a:lumMod val="20000"/>
            <a:lumOff val="8000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cs-CZ" sz="2000">
              <a:solidFill>
                <a:srgbClr val="EB2BDD"/>
              </a:solidFill>
              <a:latin typeface="Arial"/>
              <a:ea typeface="+mn-ea"/>
              <a:cs typeface="+mn-cs"/>
            </a:rPr>
            <a:t>financování</a:t>
          </a:r>
        </a:p>
        <a:p>
          <a:r>
            <a:rPr lang="cs-CZ" sz="2000">
              <a:solidFill>
                <a:srgbClr val="EB2BDD"/>
              </a:solidFill>
              <a:latin typeface="Arial"/>
              <a:ea typeface="+mn-ea"/>
              <a:cs typeface="+mn-cs"/>
            </a:rPr>
            <a:t>majetku</a:t>
          </a:r>
        </a:p>
      </dgm:t>
    </dgm:pt>
    <dgm:pt modelId="{D113A6A2-ECCA-4D9D-90D9-AE90E1F6A52A}" type="parTrans" cxnId="{819EAF8E-B1B2-41E4-88EF-020A6EA0FA82}">
      <dgm:prSet/>
      <dgm:spPr/>
      <dgm:t>
        <a:bodyPr/>
        <a:lstStyle/>
        <a:p>
          <a:endParaRPr lang="cs-CZ"/>
        </a:p>
      </dgm:t>
    </dgm:pt>
    <dgm:pt modelId="{BCCA9483-DA12-4BD0-9150-44AF1FEF73EF}" type="sibTrans" cxnId="{819EAF8E-B1B2-41E4-88EF-020A6EA0FA82}">
      <dgm:prSet/>
      <dgm:spPr/>
      <dgm:t>
        <a:bodyPr/>
        <a:lstStyle/>
        <a:p>
          <a:endParaRPr lang="cs-CZ"/>
        </a:p>
      </dgm:t>
    </dgm:pt>
    <dgm:pt modelId="{4B87FF08-CC79-46E0-9E2D-4A762227F9C6}" type="pres">
      <dgm:prSet presAssocID="{68C52581-F62A-4082-B19B-2191F1615C7F}" presName="Name0" presStyleCnt="0">
        <dgm:presLayoutVars>
          <dgm:dir/>
          <dgm:animLvl val="lvl"/>
          <dgm:resizeHandles val="exact"/>
        </dgm:presLayoutVars>
      </dgm:prSet>
      <dgm:spPr/>
    </dgm:pt>
    <dgm:pt modelId="{A66C24D8-965F-4344-B7FE-B5BB79C0431D}" type="pres">
      <dgm:prSet presAssocID="{DD4E32BB-F32B-46F4-BF69-2D61D5FF28D5}" presName="Name8" presStyleCnt="0"/>
      <dgm:spPr/>
    </dgm:pt>
    <dgm:pt modelId="{50D162F3-DF69-41DC-9AA1-06318E5025B2}" type="pres">
      <dgm:prSet presAssocID="{DD4E32BB-F32B-46F4-BF69-2D61D5FF28D5}" presName="level" presStyleLbl="node1" presStyleIdx="0" presStyleCnt="2" custScaleX="361783" custScaleY="82285" custLinFactNeighborX="-46787" custLinFactNeighborY="-45708">
        <dgm:presLayoutVars>
          <dgm:chMax val="1"/>
          <dgm:bulletEnabled val="1"/>
        </dgm:presLayoutVars>
      </dgm:prSet>
      <dgm:spPr>
        <a:prstGeom prst="trapezoid">
          <a:avLst>
            <a:gd name="adj" fmla="val 141176"/>
          </a:avLst>
        </a:prstGeom>
      </dgm:spPr>
      <dgm:t>
        <a:bodyPr/>
        <a:lstStyle/>
        <a:p>
          <a:endParaRPr lang="cs-CZ"/>
        </a:p>
      </dgm:t>
    </dgm:pt>
    <dgm:pt modelId="{DF5DE834-25DD-4F52-BBF0-6E4CCB645791}" type="pres">
      <dgm:prSet presAssocID="{DD4E32BB-F32B-46F4-BF69-2D61D5FF28D5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9B7DC342-AAA6-410B-9B67-03E0044DAA1A}" type="pres">
      <dgm:prSet presAssocID="{99A76125-C967-48F5-947A-BE2F61E9E240}" presName="Name8" presStyleCnt="0"/>
      <dgm:spPr/>
    </dgm:pt>
    <dgm:pt modelId="{2379A7AF-F38B-42DC-8058-F178C641A2F9}" type="pres">
      <dgm:prSet presAssocID="{99A76125-C967-48F5-947A-BE2F61E9E240}" presName="level" presStyleLbl="node1" presStyleIdx="1" presStyleCnt="2" custScaleX="100000" custScaleY="399375" custLinFactNeighborX="7813" custLinFactNeighborY="-37229">
        <dgm:presLayoutVars>
          <dgm:chMax val="1"/>
          <dgm:bulletEnabled val="1"/>
        </dgm:presLayoutVars>
      </dgm:prSet>
      <dgm:spPr>
        <a:prstGeom prst="trapezoid">
          <a:avLst>
            <a:gd name="adj" fmla="val 141176"/>
          </a:avLst>
        </a:prstGeom>
      </dgm:spPr>
      <dgm:t>
        <a:bodyPr/>
        <a:lstStyle/>
        <a:p>
          <a:endParaRPr lang="cs-CZ"/>
        </a:p>
      </dgm:t>
    </dgm:pt>
    <dgm:pt modelId="{8445F9B7-A859-4C19-825E-6EC705CF428D}" type="pres">
      <dgm:prSet presAssocID="{99A76125-C967-48F5-947A-BE2F61E9E240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</dgm:ptLst>
  <dgm:cxnLst>
    <dgm:cxn modelId="{A982B0A6-AF05-4E83-B215-B8E1A5999306}" srcId="{68C52581-F62A-4082-B19B-2191F1615C7F}" destId="{DD4E32BB-F32B-46F4-BF69-2D61D5FF28D5}" srcOrd="0" destOrd="0" parTransId="{E696CA6C-51E8-4958-946B-B0D6DE6B2A46}" sibTransId="{5FCF6F74-FC92-4405-9C3C-5E23AE887C09}"/>
    <dgm:cxn modelId="{C7A91CE7-3C46-4759-83E0-D5BBAB19786F}" type="presOf" srcId="{68C52581-F62A-4082-B19B-2191F1615C7F}" destId="{4B87FF08-CC79-46E0-9E2D-4A762227F9C6}" srcOrd="0" destOrd="0" presId="urn:microsoft.com/office/officeart/2005/8/layout/pyramid1"/>
    <dgm:cxn modelId="{82B338AC-9A81-411E-97B2-273AB8D59EF8}" type="presOf" srcId="{99A76125-C967-48F5-947A-BE2F61E9E240}" destId="{8445F9B7-A859-4C19-825E-6EC705CF428D}" srcOrd="1" destOrd="0" presId="urn:microsoft.com/office/officeart/2005/8/layout/pyramid1"/>
    <dgm:cxn modelId="{288FA7B5-8DA5-431F-B356-5E20EF915D87}" type="presOf" srcId="{DD4E32BB-F32B-46F4-BF69-2D61D5FF28D5}" destId="{DF5DE834-25DD-4F52-BBF0-6E4CCB645791}" srcOrd="1" destOrd="0" presId="urn:microsoft.com/office/officeart/2005/8/layout/pyramid1"/>
    <dgm:cxn modelId="{213F4D39-6EBE-49E8-905E-C91664B2A319}" type="presOf" srcId="{99A76125-C967-48F5-947A-BE2F61E9E240}" destId="{2379A7AF-F38B-42DC-8058-F178C641A2F9}" srcOrd="0" destOrd="0" presId="urn:microsoft.com/office/officeart/2005/8/layout/pyramid1"/>
    <dgm:cxn modelId="{F2547ED1-7776-44B7-906A-F79F465659AA}" type="presOf" srcId="{DD4E32BB-F32B-46F4-BF69-2D61D5FF28D5}" destId="{50D162F3-DF69-41DC-9AA1-06318E5025B2}" srcOrd="0" destOrd="0" presId="urn:microsoft.com/office/officeart/2005/8/layout/pyramid1"/>
    <dgm:cxn modelId="{819EAF8E-B1B2-41E4-88EF-020A6EA0FA82}" srcId="{68C52581-F62A-4082-B19B-2191F1615C7F}" destId="{99A76125-C967-48F5-947A-BE2F61E9E240}" srcOrd="1" destOrd="0" parTransId="{D113A6A2-ECCA-4D9D-90D9-AE90E1F6A52A}" sibTransId="{BCCA9483-DA12-4BD0-9150-44AF1FEF73EF}"/>
    <dgm:cxn modelId="{2D43F05E-4A93-4774-80AE-891419F99A79}" type="presParOf" srcId="{4B87FF08-CC79-46E0-9E2D-4A762227F9C6}" destId="{A66C24D8-965F-4344-B7FE-B5BB79C0431D}" srcOrd="0" destOrd="0" presId="urn:microsoft.com/office/officeart/2005/8/layout/pyramid1"/>
    <dgm:cxn modelId="{C6945E53-DF01-43C3-AED7-20E05EAE0379}" type="presParOf" srcId="{A66C24D8-965F-4344-B7FE-B5BB79C0431D}" destId="{50D162F3-DF69-41DC-9AA1-06318E5025B2}" srcOrd="0" destOrd="0" presId="urn:microsoft.com/office/officeart/2005/8/layout/pyramid1"/>
    <dgm:cxn modelId="{78E3C825-9CEF-41DB-8271-BA67CEC2572D}" type="presParOf" srcId="{A66C24D8-965F-4344-B7FE-B5BB79C0431D}" destId="{DF5DE834-25DD-4F52-BBF0-6E4CCB645791}" srcOrd="1" destOrd="0" presId="urn:microsoft.com/office/officeart/2005/8/layout/pyramid1"/>
    <dgm:cxn modelId="{84C474FB-10F1-460B-A2C0-EA89DD8AE618}" type="presParOf" srcId="{4B87FF08-CC79-46E0-9E2D-4A762227F9C6}" destId="{9B7DC342-AAA6-410B-9B67-03E0044DAA1A}" srcOrd="1" destOrd="0" presId="urn:microsoft.com/office/officeart/2005/8/layout/pyramid1"/>
    <dgm:cxn modelId="{BE37012F-DACF-4C7B-8255-F6B726F68639}" type="presParOf" srcId="{9B7DC342-AAA6-410B-9B67-03E0044DAA1A}" destId="{2379A7AF-F38B-42DC-8058-F178C641A2F9}" srcOrd="0" destOrd="0" presId="urn:microsoft.com/office/officeart/2005/8/layout/pyramid1"/>
    <dgm:cxn modelId="{7715290D-E757-4BD1-8B0F-67CEB9EC76E5}" type="presParOf" srcId="{9B7DC342-AAA6-410B-9B67-03E0044DAA1A}" destId="{8445F9B7-A859-4C19-825E-6EC705CF428D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68CE3FF-0712-40BA-98BB-560A5122F2E1}">
      <dsp:nvSpPr>
        <dsp:cNvPr id="0" name=""/>
        <dsp:cNvSpPr/>
      </dsp:nvSpPr>
      <dsp:spPr>
        <a:xfrm>
          <a:off x="0" y="0"/>
          <a:ext cx="5486400" cy="1228725"/>
        </a:xfrm>
        <a:prstGeom prst="trapezoid">
          <a:avLst>
            <a:gd name="adj" fmla="val 223256"/>
          </a:avLst>
        </a:prstGeom>
        <a:solidFill>
          <a:srgbClr val="5ECCF3">
            <a:lumMod val="20000"/>
            <a:lumOff val="80000"/>
          </a:srgbClr>
        </a:solidFill>
        <a:ln w="15875" cap="flat" cmpd="sng" algn="ctr">
          <a:solidFill>
            <a:srgbClr val="A7EA52">
              <a:lumMod val="20000"/>
              <a:lumOff val="8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2000" b="1" i="0" kern="1200">
              <a:solidFill>
                <a:srgbClr val="F14124">
                  <a:lumMod val="40000"/>
                  <a:lumOff val="60000"/>
                </a:srgbClr>
              </a:solidFill>
              <a:latin typeface="Arial"/>
              <a:ea typeface="+mn-ea"/>
              <a:cs typeface="+mn-cs"/>
            </a:rPr>
            <a:t>Inventarizace</a:t>
          </a:r>
        </a:p>
      </dsp:txBody>
      <dsp:txXfrm>
        <a:off x="0" y="0"/>
        <a:ext cx="5486400" cy="122872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D162F3-DF69-41DC-9AA1-06318E5025B2}">
      <dsp:nvSpPr>
        <dsp:cNvPr id="0" name=""/>
        <dsp:cNvSpPr/>
      </dsp:nvSpPr>
      <dsp:spPr>
        <a:xfrm>
          <a:off x="557397" y="0"/>
          <a:ext cx="3102443" cy="385650"/>
        </a:xfrm>
        <a:prstGeom prst="trapezoid">
          <a:avLst>
            <a:gd name="adj" fmla="val 141176"/>
          </a:avLst>
        </a:prstGeom>
        <a:solidFill>
          <a:srgbClr val="F14124">
            <a:lumMod val="20000"/>
            <a:lumOff val="8000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800" kern="1200">
              <a:solidFill>
                <a:srgbClr val="EB2BDD"/>
              </a:solidFill>
              <a:latin typeface="Arial"/>
              <a:ea typeface="+mn-ea"/>
              <a:cs typeface="+mn-cs"/>
            </a:rPr>
            <a:t>Zdroje</a:t>
          </a:r>
        </a:p>
      </dsp:txBody>
      <dsp:txXfrm>
        <a:off x="557397" y="0"/>
        <a:ext cx="3102443" cy="385650"/>
      </dsp:txXfrm>
    </dsp:sp>
    <dsp:sp modelId="{2379A7AF-F38B-42DC-8058-F178C641A2F9}">
      <dsp:nvSpPr>
        <dsp:cNvPr id="0" name=""/>
        <dsp:cNvSpPr/>
      </dsp:nvSpPr>
      <dsp:spPr>
        <a:xfrm>
          <a:off x="0" y="211166"/>
          <a:ext cx="5019674" cy="1871774"/>
        </a:xfrm>
        <a:prstGeom prst="trapezoid">
          <a:avLst>
            <a:gd name="adj" fmla="val 141176"/>
          </a:avLst>
        </a:prstGeom>
        <a:solidFill>
          <a:srgbClr val="4E67C8">
            <a:lumMod val="20000"/>
            <a:lumOff val="80000"/>
          </a:srgbClr>
        </a:solidFill>
        <a:ln w="15875" cap="flat" cmpd="sng" algn="ctr">
          <a:solidFill>
            <a:srgbClr val="DBF6B9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2000" kern="1200">
              <a:solidFill>
                <a:srgbClr val="EB2BDD"/>
              </a:solidFill>
              <a:latin typeface="Arial"/>
              <a:ea typeface="+mn-ea"/>
              <a:cs typeface="+mn-cs"/>
            </a:rPr>
            <a:t>financování</a:t>
          </a:r>
        </a:p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2000" kern="1200">
              <a:solidFill>
                <a:srgbClr val="EB2BDD"/>
              </a:solidFill>
              <a:latin typeface="Arial"/>
              <a:ea typeface="+mn-ea"/>
              <a:cs typeface="+mn-cs"/>
            </a:rPr>
            <a:t>majetku</a:t>
          </a:r>
        </a:p>
      </dsp:txBody>
      <dsp:txXfrm>
        <a:off x="878443" y="211166"/>
        <a:ext cx="3262788" cy="18717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421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15</cp:revision>
  <dcterms:created xsi:type="dcterms:W3CDTF">2013-09-08T16:31:00Z</dcterms:created>
  <dcterms:modified xsi:type="dcterms:W3CDTF">2014-10-23T10:19:00Z</dcterms:modified>
</cp:coreProperties>
</file>